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CD63" w14:textId="21A66966" w:rsidR="00B02208" w:rsidRPr="00B02208" w:rsidRDefault="00C65446" w:rsidP="00B02208">
      <w:p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Since 2013, t</w:t>
      </w:r>
      <w:r w:rsidR="00000000" w:rsidRPr="00B02208">
        <w:rPr>
          <w:rFonts w:ascii="Franklin Gothic Book" w:hAnsi="Franklin Gothic Book"/>
          <w:sz w:val="20"/>
          <w:szCs w:val="20"/>
        </w:rPr>
        <w:t>he City of Brawley is regulated by the State Water Resources Control Board as a Traditional Small MS4 and thus required to comply with the State’s General Permit for Waste Discharge Requirement (WDRs) for Storm Water Discharges from small municipal separate storm sewer systems (MS4s</w:t>
      </w:r>
      <w:r w:rsidR="00441071">
        <w:rPr>
          <w:rFonts w:ascii="Franklin Gothic Book" w:hAnsi="Franklin Gothic Book"/>
          <w:sz w:val="20"/>
          <w:szCs w:val="20"/>
        </w:rPr>
        <w:t>).</w:t>
      </w:r>
    </w:p>
    <w:p w14:paraId="6E172A3A" w14:textId="77777777" w:rsidR="00B02208" w:rsidRPr="00B02208" w:rsidRDefault="00000000" w:rsidP="00B02208">
      <w:pPr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According to Section E.12 of permit </w:t>
      </w:r>
    </w:p>
    <w:p w14:paraId="09BBD60E" w14:textId="77777777" w:rsidR="00B02208" w:rsidRPr="00B02208" w:rsidRDefault="00000000" w:rsidP="00B02208">
      <w:pPr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(</w:t>
      </w:r>
      <w:hyperlink r:id="rId5" w:history="1">
        <w:r w:rsidR="00B02208" w:rsidRPr="00B02208">
          <w:rPr>
            <w:rStyle w:val="Hyperlink"/>
            <w:rFonts w:ascii="Franklin Gothic Book" w:hAnsi="Franklin Gothic Book"/>
            <w:sz w:val="20"/>
            <w:szCs w:val="20"/>
          </w:rPr>
          <w:t>https://www.waterboards.ca.gov/board_decisions/adopted_orders/water_quality/2013/wqo2013_0001dwq.pdf</w:t>
        </w:r>
      </w:hyperlink>
      <w:r w:rsidRPr="00B02208">
        <w:rPr>
          <w:rFonts w:ascii="Franklin Gothic Book" w:hAnsi="Franklin Gothic Book"/>
          <w:sz w:val="20"/>
          <w:szCs w:val="20"/>
        </w:rPr>
        <w:t xml:space="preserve">) , projects creating or replacing more than 5000 sf of impervious area shall be considered as “Regulated Projects” must incorporate post-construction water quality measures in accordance with the State's Phase II Small MS4 Permit at </w:t>
      </w:r>
      <w:hyperlink r:id="rId6" w:history="1">
        <w:r w:rsidR="00B02208" w:rsidRPr="00B02208">
          <w:rPr>
            <w:rStyle w:val="Hyperlink"/>
            <w:rFonts w:ascii="Franklin Gothic Book" w:hAnsi="Franklin Gothic Book"/>
            <w:sz w:val="20"/>
            <w:szCs w:val="20"/>
          </w:rPr>
          <w:t>https://www.waterboards.ca.gov/water_issues/programs/stormwater/phase_ii_municipal.html</w:t>
        </w:r>
      </w:hyperlink>
      <w:r w:rsidRPr="00B02208">
        <w:rPr>
          <w:rFonts w:ascii="Franklin Gothic Book" w:hAnsi="Franklin Gothic Book"/>
          <w:sz w:val="20"/>
          <w:szCs w:val="20"/>
        </w:rPr>
        <w:t xml:space="preserve"> </w:t>
      </w:r>
    </w:p>
    <w:p w14:paraId="060F889E" w14:textId="77777777" w:rsidR="00B02208" w:rsidRPr="00B02208" w:rsidRDefault="00000000" w:rsidP="00B02208">
      <w:pPr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Please refer to the order WQ 2013-0001-DWQ (Adopted 2/5/2013)) for additional information regarding requirements for "regulated projects".  Some relevant information is summarized below.</w:t>
      </w:r>
    </w:p>
    <w:p w14:paraId="1CF8CB59" w14:textId="77777777" w:rsidR="00B02208" w:rsidRPr="00B02208" w:rsidRDefault="00000000" w:rsidP="00B02208">
      <w:pPr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 xml:space="preserve">Regulated projects are required to implement water quality best management practices to treat storm water runoff by providing a water quality management plan addressing the following items. </w:t>
      </w:r>
    </w:p>
    <w:p w14:paraId="0F9DE6C8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Site Design measures.</w:t>
      </w:r>
    </w:p>
    <w:p w14:paraId="37AB4B24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Source Control Measures.</w:t>
      </w:r>
    </w:p>
    <w:p w14:paraId="416E7EAB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 xml:space="preserve">Numeric Sizing for Storm Water Retention and Treatment.  (Can use the State’s CA Phase II LID Sizing Tool – v1.2 for this requirement. </w:t>
      </w:r>
      <w:hyperlink r:id="rId7" w:history="1">
        <w:r w:rsidR="00B02208" w:rsidRPr="00B02208">
          <w:rPr>
            <w:rStyle w:val="Hyperlink"/>
            <w:rFonts w:ascii="Franklin Gothic Book" w:hAnsi="Franklin Gothic Book"/>
            <w:sz w:val="20"/>
            <w:szCs w:val="20"/>
          </w:rPr>
          <w:t>https://www.owp.csus.edu/LIDTool/</w:t>
        </w:r>
      </w:hyperlink>
      <w:r w:rsidRPr="00B02208">
        <w:rPr>
          <w:rFonts w:ascii="Franklin Gothic Book" w:hAnsi="Franklin Gothic Book"/>
          <w:sz w:val="20"/>
          <w:szCs w:val="20"/>
        </w:rPr>
        <w:t>)</w:t>
      </w:r>
    </w:p>
    <w:p w14:paraId="46FE30C0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 xml:space="preserve">Storm Water Treatment Measures and Baseline Hydromodification Measures. </w:t>
      </w:r>
    </w:p>
    <w:p w14:paraId="20A10C4B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 xml:space="preserve">Hydromodification Management Narrative and Analysis </w:t>
      </w:r>
    </w:p>
    <w:p w14:paraId="5D616B37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An Operations and Maintenance plan for any structural water quality treatment BMPs proposed, which included maintenance activities and frequencies of these activities, and responsible parties for long-term maintenance.</w:t>
      </w:r>
    </w:p>
    <w:p w14:paraId="7D5B123D" w14:textId="77777777" w:rsidR="00B02208" w:rsidRPr="00B02208" w:rsidRDefault="00000000" w:rsidP="00B02208">
      <w:pPr>
        <w:numPr>
          <w:ilvl w:val="1"/>
          <w:numId w:val="2"/>
        </w:numPr>
        <w:ind w:left="360"/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>A signed and stamped certification statement by a Registered Civil Engineer, State of California.</w:t>
      </w:r>
    </w:p>
    <w:p w14:paraId="29D7B8A1" w14:textId="77777777" w:rsidR="00B02208" w:rsidRPr="00B02208" w:rsidRDefault="00000000" w:rsidP="00B02208">
      <w:pPr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sz w:val="20"/>
          <w:szCs w:val="20"/>
        </w:rPr>
        <w:t xml:space="preserve">Regulated projects CANNOT be piecemealed so as to avoid water quality triggers. Projects that are a part of a larger development are NOT exempt from complying with water quality. Please see language from the permit detailing this.  </w:t>
      </w:r>
    </w:p>
    <w:p w14:paraId="38806B32" w14:textId="319D2C70" w:rsidR="00F10B77" w:rsidRDefault="00000000" w:rsidP="00B02208">
      <w:pPr>
        <w:rPr>
          <w:rFonts w:ascii="Franklin Gothic Book" w:hAnsi="Franklin Gothic Book"/>
          <w:sz w:val="20"/>
          <w:szCs w:val="20"/>
        </w:rPr>
      </w:pPr>
      <w:r w:rsidRPr="00B02208">
        <w:rPr>
          <w:rFonts w:ascii="Franklin Gothic Book" w:hAnsi="Franklin Gothic Book"/>
          <w:noProof/>
          <w:sz w:val="20"/>
          <w:szCs w:val="20"/>
        </w:rPr>
        <w:drawing>
          <wp:inline distT="0" distB="0" distL="0" distR="0" wp14:anchorId="7E1A3731" wp14:editId="4EC4552D">
            <wp:extent cx="4250566" cy="2362200"/>
            <wp:effectExtent l="19050" t="19050" r="17145" b="19050"/>
            <wp:docPr id="1500938391" name="Picture 2" descr="A yellow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65699" name="Picture 2" descr="A yellow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161" cy="236530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DD72714" w14:textId="76E6A44B" w:rsidR="00F10B77" w:rsidRPr="00F10B77" w:rsidRDefault="00F10B77" w:rsidP="00B02208">
      <w:pPr>
        <w:rPr>
          <w:rFonts w:ascii="Franklin Gothic Book" w:hAnsi="Franklin Gothic Book"/>
          <w:b/>
          <w:bCs/>
          <w:u w:val="single"/>
        </w:rPr>
      </w:pPr>
      <w:r w:rsidRPr="00F10B77">
        <w:rPr>
          <w:rFonts w:ascii="Franklin Gothic Book" w:hAnsi="Franklin Gothic Book"/>
          <w:b/>
          <w:bCs/>
          <w:u w:val="single"/>
        </w:rPr>
        <w:t xml:space="preserve">Disclaimer: The City </w:t>
      </w:r>
      <w:r>
        <w:rPr>
          <w:rFonts w:ascii="Franklin Gothic Book" w:hAnsi="Franklin Gothic Book"/>
          <w:b/>
          <w:bCs/>
          <w:u w:val="single"/>
        </w:rPr>
        <w:t xml:space="preserve">Engineer </w:t>
      </w:r>
      <w:r w:rsidRPr="00F10B77">
        <w:rPr>
          <w:rFonts w:ascii="Franklin Gothic Book" w:hAnsi="Franklin Gothic Book"/>
          <w:b/>
          <w:bCs/>
          <w:u w:val="single"/>
        </w:rPr>
        <w:t>reserves the right to determine if a project qualifies as part of a larger development/project</w:t>
      </w:r>
      <w:r>
        <w:rPr>
          <w:rFonts w:ascii="Franklin Gothic Book" w:hAnsi="Franklin Gothic Book"/>
          <w:b/>
          <w:bCs/>
          <w:u w:val="single"/>
        </w:rPr>
        <w:t>.</w:t>
      </w:r>
      <w:r w:rsidRPr="00F10B77">
        <w:rPr>
          <w:rFonts w:ascii="Franklin Gothic Book" w:hAnsi="Franklin Gothic Book"/>
          <w:b/>
          <w:bCs/>
          <w:u w:val="single"/>
        </w:rPr>
        <w:t xml:space="preserve"> </w:t>
      </w:r>
    </w:p>
    <w:sectPr w:rsidR="00F10B77" w:rsidRPr="00F1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7D0"/>
    <w:multiLevelType w:val="hybridMultilevel"/>
    <w:tmpl w:val="684EF616"/>
    <w:lvl w:ilvl="0" w:tplc="5EAA39B0">
      <w:start w:val="1"/>
      <w:numFmt w:val="bullet"/>
      <w:pStyle w:val="KeyPoint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2AE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6D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08A8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D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46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4B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4B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00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B1B88"/>
    <w:multiLevelType w:val="hybridMultilevel"/>
    <w:tmpl w:val="F35CBB60"/>
    <w:lvl w:ilvl="0" w:tplc="11043554">
      <w:start w:val="1"/>
      <w:numFmt w:val="decimal"/>
      <w:lvlText w:val="%1."/>
      <w:lvlJc w:val="left"/>
      <w:pPr>
        <w:ind w:left="720" w:hanging="360"/>
      </w:pPr>
    </w:lvl>
    <w:lvl w:ilvl="1" w:tplc="37BEC586">
      <w:start w:val="1"/>
      <w:numFmt w:val="lowerLetter"/>
      <w:lvlText w:val="%2."/>
      <w:lvlJc w:val="left"/>
      <w:pPr>
        <w:ind w:left="1440" w:hanging="360"/>
      </w:pPr>
    </w:lvl>
    <w:lvl w:ilvl="2" w:tplc="530C7EF2">
      <w:start w:val="1"/>
      <w:numFmt w:val="lowerRoman"/>
      <w:lvlText w:val="%3."/>
      <w:lvlJc w:val="right"/>
      <w:pPr>
        <w:ind w:left="2160" w:hanging="180"/>
      </w:pPr>
    </w:lvl>
    <w:lvl w:ilvl="3" w:tplc="67EE8EA0">
      <w:start w:val="1"/>
      <w:numFmt w:val="decimal"/>
      <w:lvlText w:val="%4."/>
      <w:lvlJc w:val="left"/>
      <w:pPr>
        <w:ind w:left="2880" w:hanging="360"/>
      </w:pPr>
    </w:lvl>
    <w:lvl w:ilvl="4" w:tplc="F5B83190">
      <w:start w:val="1"/>
      <w:numFmt w:val="lowerLetter"/>
      <w:lvlText w:val="%5."/>
      <w:lvlJc w:val="left"/>
      <w:pPr>
        <w:ind w:left="3600" w:hanging="360"/>
      </w:pPr>
    </w:lvl>
    <w:lvl w:ilvl="5" w:tplc="B0D46AE2">
      <w:start w:val="1"/>
      <w:numFmt w:val="lowerRoman"/>
      <w:lvlText w:val="%6."/>
      <w:lvlJc w:val="right"/>
      <w:pPr>
        <w:ind w:left="4320" w:hanging="180"/>
      </w:pPr>
    </w:lvl>
    <w:lvl w:ilvl="6" w:tplc="E8BC19EE">
      <w:start w:val="1"/>
      <w:numFmt w:val="decimal"/>
      <w:lvlText w:val="%7."/>
      <w:lvlJc w:val="left"/>
      <w:pPr>
        <w:ind w:left="5040" w:hanging="360"/>
      </w:pPr>
    </w:lvl>
    <w:lvl w:ilvl="7" w:tplc="1744086C">
      <w:start w:val="1"/>
      <w:numFmt w:val="lowerLetter"/>
      <w:lvlText w:val="%8."/>
      <w:lvlJc w:val="left"/>
      <w:pPr>
        <w:ind w:left="5760" w:hanging="360"/>
      </w:pPr>
    </w:lvl>
    <w:lvl w:ilvl="8" w:tplc="79DC9360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600886">
    <w:abstractNumId w:val="0"/>
  </w:num>
  <w:num w:numId="2" w16cid:durableId="146704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8"/>
    <w:rsid w:val="003C3B47"/>
    <w:rsid w:val="00441071"/>
    <w:rsid w:val="005B10DA"/>
    <w:rsid w:val="005C7D27"/>
    <w:rsid w:val="006A57B4"/>
    <w:rsid w:val="007D219D"/>
    <w:rsid w:val="009479ED"/>
    <w:rsid w:val="00B02208"/>
    <w:rsid w:val="00B33382"/>
    <w:rsid w:val="00BA6727"/>
    <w:rsid w:val="00BE69D5"/>
    <w:rsid w:val="00C65446"/>
    <w:rsid w:val="00DA00F4"/>
    <w:rsid w:val="00DE74C2"/>
    <w:rsid w:val="00E7243B"/>
    <w:rsid w:val="00F1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3B881"/>
  <w15:chartTrackingRefBased/>
  <w15:docId w15:val="{3694A971-2CAA-46AB-B84C-FD81A1A0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Points">
    <w:name w:val="Key Points"/>
    <w:basedOn w:val="ListParagraph"/>
    <w:link w:val="KeyPointsChar"/>
    <w:qFormat/>
    <w:rsid w:val="009479ED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9D7D7"/>
      <w:spacing w:after="180" w:line="264" w:lineRule="auto"/>
    </w:pPr>
    <w:rPr>
      <w:rFonts w:ascii="Tw Cen MT" w:eastAsia="Tw Cen MT" w:hAnsi="Tw Cen MT" w:cs="Times New Roman"/>
      <w:color w:val="0070C0"/>
      <w:kern w:val="24"/>
      <w:sz w:val="24"/>
      <w:szCs w:val="26"/>
      <w:lang w:eastAsia="ja-JP" w:bidi="hi-IN"/>
      <w14:textOutline w14:w="9525" w14:cap="rnd" w14:cmpd="sng" w14:algn="ctr">
        <w14:solidFill>
          <w14:schemeClr w14:val="accent5">
            <w14:lumMod w14:val="75000"/>
          </w14:schemeClr>
        </w14:solidFill>
        <w14:prstDash w14:val="solid"/>
        <w14:bevel/>
      </w14:textOutline>
      <w14:textFill>
        <w14:solidFill>
          <w14:srgbClr w14:val="0070C0">
            <w14:alpha w14:val="10000"/>
          </w14:srgbClr>
        </w14:solidFill>
      </w14:textFill>
    </w:rPr>
  </w:style>
  <w:style w:type="character" w:customStyle="1" w:styleId="KeyPointsChar">
    <w:name w:val="Key Points Char"/>
    <w:basedOn w:val="DefaultParagraphFont"/>
    <w:link w:val="KeyPoints"/>
    <w:rsid w:val="009479ED"/>
    <w:rPr>
      <w:rFonts w:ascii="Tw Cen MT" w:eastAsia="Tw Cen MT" w:hAnsi="Tw Cen MT" w:cs="Times New Roman"/>
      <w:color w:val="0070C0"/>
      <w:kern w:val="24"/>
      <w:sz w:val="24"/>
      <w:szCs w:val="26"/>
      <w:shd w:val="clear" w:color="auto" w:fill="19D7D7"/>
      <w:lang w:eastAsia="ja-JP" w:bidi="hi-IN"/>
      <w14:textOutline w14:w="9525" w14:cap="rnd" w14:cmpd="sng" w14:algn="ctr">
        <w14:solidFill>
          <w14:schemeClr w14:val="accent5">
            <w14:lumMod w14:val="75000"/>
          </w14:schemeClr>
        </w14:solidFill>
        <w14:prstDash w14:val="solid"/>
        <w14:bevel/>
      </w14:textOutline>
      <w14:textFill>
        <w14:solidFill>
          <w14:srgbClr w14:val="0070C0">
            <w14:alpha w14:val="10000"/>
          </w14:srgbClr>
        </w14:solidFill>
      </w14:textFill>
    </w:rPr>
  </w:style>
  <w:style w:type="paragraph" w:styleId="ListParagraph">
    <w:name w:val="List Paragraph"/>
    <w:basedOn w:val="Normal"/>
    <w:uiPriority w:val="34"/>
    <w:qFormat/>
    <w:rsid w:val="009479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2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20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02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2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2208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rotect.checkpoint.com/v2/___https://protect-us.mimecast.com/s/vQX5Co2v1zhZR51zI1o3UB?domain=owp.csus.edu/___.YzJ1OmNpdHlvZmJyYXdsZXk6YzpvOjNjNGI3ZDdlYTU3OTgyN2RmMzE5YmU2YWExYTE1ODFmOjY6YWE5MzoxYTI3ZjFkZTI4ZmUzODM5ODZiN2MxMTRkODgyYjc4Y2QzMWViYjg5MGJjYWNjNDgyNDIzYzg5NTViNjZhMGVkOnA6Rj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.checkpoint.com/v2/___https://www.waterboards.ca.gov/water_issues/programs/stormwater/phase_ii_municipal.html___.YzJ1OmNpdHlvZmJyYXdsZXk6YzpvOjNjNGI3ZDdlYTU3OTgyN2RmMzE5YmU2YWExYTE1ODFmOjY6NjliZTowY2UzMDNhYTM5MWM4MTRiMTI0ODg0ODhkOTgzYjI2ODY5N2EwZWU4NGU3MTQyZGFjYTc0MDljYzUwZmE0MzFlOnA6RjpO" TargetMode="External"/><Relationship Id="rId5" Type="http://schemas.openxmlformats.org/officeDocument/2006/relationships/hyperlink" Target="https://protect.checkpoint.com/v2/___https://www.waterboards.ca.gov/board_decisions/adopted_orders/water_quality/2013/wqo2013_0001dwq.pdf___.YzJ1OmNpdHlvZmJyYXdsZXk6YzpvOjNjNGI3ZDdlYTU3OTgyN2RmMzE5YmU2YWExYTE1ODFmOjY6NzJkZDpjMzYzNTY1MDg2Njk5NDI1ODE2ZTg3MzY2OWYzYzUzOTU4NDVhOGRjN2M2ODU3ZjI1ZDE3NDk5ODFmNmZmZjMxOnA6Rjp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 Asam</dc:creator>
  <cp:lastModifiedBy>Cynthia Mancha</cp:lastModifiedBy>
  <cp:revision>3</cp:revision>
  <dcterms:created xsi:type="dcterms:W3CDTF">2025-04-21T21:41:00Z</dcterms:created>
  <dcterms:modified xsi:type="dcterms:W3CDTF">2025-04-21T21:45:00Z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-1195955052</vt:i4>
  </property>
  <property fmtid="{D5CDD505-2E9C-101B-9397-08002B2CF9AE}" pid="3" name="_AuthorEmail">
    <vt:lpwstr>PADMA.Asam@NV5.com</vt:lpwstr>
  </property>
  <property fmtid="{D5CDD505-2E9C-101B-9397-08002B2CF9AE}" pid="4" name="_AuthorEmailDisplayName">
    <vt:lpwstr>Padma Asam</vt:lpwstr>
  </property>
  <property fmtid="{D5CDD505-2E9C-101B-9397-08002B2CF9AE}" pid="5" name="_EmailSubject">
    <vt:lpwstr>City of Brawley - Water Quality Permit Language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